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A3" w:rsidRPr="00955D71" w:rsidRDefault="00A036A3" w:rsidP="00A036A3">
      <w:pPr>
        <w:spacing w:after="120"/>
        <w:jc w:val="center"/>
        <w:rPr>
          <w:b/>
          <w:sz w:val="24"/>
          <w:szCs w:val="24"/>
        </w:rPr>
      </w:pPr>
      <w:r w:rsidRPr="00955D71">
        <w:rPr>
          <w:b/>
          <w:sz w:val="24"/>
          <w:szCs w:val="24"/>
        </w:rPr>
        <w:t>Smlouva o nájmu hrobového místa</w:t>
      </w:r>
    </w:p>
    <w:p w:rsidR="00A036A3" w:rsidRPr="00955D71" w:rsidRDefault="00A036A3" w:rsidP="00A036A3">
      <w:pPr>
        <w:jc w:val="center"/>
        <w:rPr>
          <w:sz w:val="24"/>
          <w:szCs w:val="24"/>
        </w:rPr>
      </w:pPr>
      <w:r w:rsidRPr="00955D71">
        <w:rPr>
          <w:sz w:val="24"/>
          <w:szCs w:val="24"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955D71">
          <w:rPr>
            <w:sz w:val="24"/>
            <w:szCs w:val="24"/>
          </w:rPr>
          <w:t>2201 a</w:t>
        </w:r>
      </w:smartTag>
      <w:r w:rsidRPr="00955D71">
        <w:rPr>
          <w:sz w:val="24"/>
          <w:szCs w:val="24"/>
        </w:rPr>
        <w:t xml:space="preserve"> následujících, kromě § 2230, zákona č. 89/2012 Sb., občanský zákoník, ve znění pozdějších předpisů a podle ustanovení § 25 zákona č. 256/2001 Sb., o pohřebnictví a o změně některých zákonů v platném znění (dále také „zákon o pohřebnictví“)</w:t>
      </w:r>
    </w:p>
    <w:p w:rsidR="00A036A3" w:rsidRPr="00955D71" w:rsidRDefault="006328A1" w:rsidP="006328A1">
      <w:pPr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A036A3" w:rsidRPr="00955D71" w:rsidRDefault="00A036A3" w:rsidP="00A036A3">
      <w:pPr>
        <w:spacing w:line="276" w:lineRule="auto"/>
        <w:jc w:val="both"/>
        <w:rPr>
          <w:b/>
          <w:sz w:val="24"/>
          <w:szCs w:val="24"/>
        </w:rPr>
      </w:pPr>
      <w:r w:rsidRPr="00955D71">
        <w:rPr>
          <w:b/>
          <w:sz w:val="24"/>
          <w:szCs w:val="24"/>
        </w:rPr>
        <w:t>Obec Pavlovice u Přerova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IČ: 00301</w:t>
      </w:r>
      <w:r w:rsidR="006328A1">
        <w:rPr>
          <w:sz w:val="24"/>
          <w:szCs w:val="24"/>
        </w:rPr>
        <w:t>710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se sídlem</w:t>
      </w:r>
      <w:r w:rsidR="006328A1">
        <w:rPr>
          <w:sz w:val="24"/>
          <w:szCs w:val="24"/>
        </w:rPr>
        <w:t>:</w:t>
      </w:r>
      <w:r w:rsidRPr="00955D71">
        <w:rPr>
          <w:sz w:val="24"/>
          <w:szCs w:val="24"/>
        </w:rPr>
        <w:t xml:space="preserve"> Pavlovice u Přerova 102, 751 11 Radslavice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 xml:space="preserve">zastoupená starostou obce </w:t>
      </w:r>
      <w:r w:rsidR="00BD092D">
        <w:rPr>
          <w:sz w:val="24"/>
          <w:szCs w:val="24"/>
        </w:rPr>
        <w:t xml:space="preserve">Mgr. Jaromírem </w:t>
      </w:r>
      <w:proofErr w:type="spellStart"/>
      <w:r w:rsidR="00BD092D">
        <w:rPr>
          <w:sz w:val="24"/>
          <w:szCs w:val="24"/>
        </w:rPr>
        <w:t>Školoudíkem</w:t>
      </w:r>
      <w:proofErr w:type="spellEnd"/>
      <w:r w:rsidR="00BD092D">
        <w:rPr>
          <w:sz w:val="24"/>
          <w:szCs w:val="24"/>
        </w:rPr>
        <w:t>, Ph.D.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(dále jen „pronajímatel“)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a</w:t>
      </w:r>
    </w:p>
    <w:p w:rsidR="002C51B7" w:rsidRPr="006328A1" w:rsidRDefault="002C51B7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>jméno, příjmení</w:t>
      </w:r>
      <w:r w:rsidR="006328A1">
        <w:rPr>
          <w:sz w:val="24"/>
          <w:szCs w:val="24"/>
        </w:rPr>
        <w:t>:</w:t>
      </w:r>
      <w:r w:rsidR="007A5C3C">
        <w:rPr>
          <w:sz w:val="24"/>
          <w:szCs w:val="24"/>
        </w:rPr>
        <w:tab/>
      </w:r>
      <w:r w:rsidR="007A5C3C">
        <w:rPr>
          <w:sz w:val="24"/>
          <w:szCs w:val="24"/>
        </w:rPr>
        <w:tab/>
      </w:r>
    </w:p>
    <w:p w:rsidR="002C51B7" w:rsidRPr="006328A1" w:rsidRDefault="002C51B7" w:rsidP="006328A1">
      <w:pPr>
        <w:rPr>
          <w:sz w:val="24"/>
          <w:szCs w:val="24"/>
        </w:rPr>
      </w:pPr>
    </w:p>
    <w:p w:rsidR="002C51B7" w:rsidRPr="006328A1" w:rsidRDefault="002C51B7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>datum narození</w:t>
      </w:r>
      <w:r w:rsidR="006328A1">
        <w:rPr>
          <w:sz w:val="24"/>
          <w:szCs w:val="24"/>
        </w:rPr>
        <w:t>:</w:t>
      </w:r>
      <w:r w:rsidR="007A5C3C">
        <w:rPr>
          <w:sz w:val="24"/>
          <w:szCs w:val="24"/>
        </w:rPr>
        <w:tab/>
      </w:r>
      <w:r w:rsidR="007A5C3C">
        <w:rPr>
          <w:sz w:val="24"/>
          <w:szCs w:val="24"/>
        </w:rPr>
        <w:tab/>
      </w:r>
    </w:p>
    <w:p w:rsidR="002C51B7" w:rsidRPr="006328A1" w:rsidRDefault="002C51B7" w:rsidP="006328A1">
      <w:pPr>
        <w:rPr>
          <w:sz w:val="24"/>
          <w:szCs w:val="24"/>
        </w:rPr>
      </w:pPr>
    </w:p>
    <w:p w:rsidR="002C51B7" w:rsidRPr="006328A1" w:rsidRDefault="002C51B7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>adresa</w:t>
      </w:r>
      <w:r w:rsidR="006328A1">
        <w:rPr>
          <w:sz w:val="24"/>
          <w:szCs w:val="24"/>
        </w:rPr>
        <w:t>:</w:t>
      </w:r>
      <w:r w:rsidR="007A5C3C">
        <w:rPr>
          <w:sz w:val="24"/>
          <w:szCs w:val="24"/>
        </w:rPr>
        <w:tab/>
      </w:r>
      <w:r w:rsidR="007A5C3C">
        <w:rPr>
          <w:sz w:val="24"/>
          <w:szCs w:val="24"/>
        </w:rPr>
        <w:tab/>
      </w:r>
      <w:r w:rsidR="007A5C3C">
        <w:rPr>
          <w:sz w:val="24"/>
          <w:szCs w:val="24"/>
        </w:rPr>
        <w:tab/>
        <w:t xml:space="preserve">            </w:t>
      </w:r>
    </w:p>
    <w:p w:rsidR="002C51B7" w:rsidRPr="006328A1" w:rsidRDefault="002C51B7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 xml:space="preserve"> </w:t>
      </w:r>
    </w:p>
    <w:p w:rsidR="00A036A3" w:rsidRPr="006328A1" w:rsidRDefault="002C51B7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>email</w:t>
      </w:r>
      <w:r w:rsidR="007A5C3C">
        <w:rPr>
          <w:sz w:val="24"/>
          <w:szCs w:val="24"/>
        </w:rPr>
        <w:t>/tel.:</w:t>
      </w:r>
      <w:r w:rsidR="007A5C3C">
        <w:rPr>
          <w:sz w:val="24"/>
          <w:szCs w:val="24"/>
        </w:rPr>
        <w:tab/>
        <w:t xml:space="preserve">                        </w:t>
      </w:r>
    </w:p>
    <w:p w:rsidR="00A036A3" w:rsidRPr="006328A1" w:rsidRDefault="00A036A3" w:rsidP="006328A1">
      <w:pPr>
        <w:rPr>
          <w:sz w:val="24"/>
          <w:szCs w:val="24"/>
        </w:rPr>
      </w:pPr>
      <w:r w:rsidRPr="006328A1">
        <w:rPr>
          <w:sz w:val="24"/>
          <w:szCs w:val="24"/>
        </w:rPr>
        <w:t>(dále jen jako „nájemce“)</w:t>
      </w:r>
    </w:p>
    <w:p w:rsidR="00A036A3" w:rsidRPr="00955D71" w:rsidRDefault="00A036A3" w:rsidP="00A036A3">
      <w:pPr>
        <w:spacing w:line="276" w:lineRule="auto"/>
        <w:jc w:val="both"/>
        <w:rPr>
          <w:sz w:val="24"/>
          <w:szCs w:val="24"/>
        </w:rPr>
      </w:pPr>
    </w:p>
    <w:p w:rsidR="00A036A3" w:rsidRPr="002C51B7" w:rsidRDefault="002C51B7" w:rsidP="002C51B7">
      <w:pPr>
        <w:pStyle w:val="Odstavecseseznamem"/>
        <w:numPr>
          <w:ilvl w:val="0"/>
          <w:numId w:val="18"/>
        </w:numPr>
        <w:spacing w:line="276" w:lineRule="auto"/>
        <w:jc w:val="center"/>
        <w:rPr>
          <w:b/>
          <w:bCs/>
          <w:sz w:val="24"/>
          <w:szCs w:val="24"/>
        </w:rPr>
      </w:pPr>
      <w:r w:rsidRPr="002C51B7">
        <w:rPr>
          <w:b/>
          <w:bCs/>
          <w:sz w:val="24"/>
          <w:szCs w:val="24"/>
        </w:rPr>
        <w:t>Předmět smlouvy</w:t>
      </w:r>
    </w:p>
    <w:p w:rsidR="00A036A3" w:rsidRPr="00955D71" w:rsidRDefault="00A036A3" w:rsidP="00A036A3">
      <w:pPr>
        <w:pStyle w:val="Zkladntext"/>
        <w:rPr>
          <w:b/>
          <w:bCs/>
          <w:i/>
          <w:iCs/>
        </w:rPr>
      </w:pPr>
    </w:p>
    <w:p w:rsidR="002C51B7" w:rsidRDefault="002C51B7" w:rsidP="00893904">
      <w:pPr>
        <w:numPr>
          <w:ilvl w:val="0"/>
          <w:numId w:val="11"/>
        </w:numPr>
        <w:tabs>
          <w:tab w:val="clear" w:pos="720"/>
        </w:tabs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prohlašuje, že je výlučným vlastníkem pozemku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264 a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 xml:space="preserve">. 260/2 v k. </w:t>
      </w:r>
      <w:proofErr w:type="spellStart"/>
      <w:r>
        <w:rPr>
          <w:sz w:val="24"/>
          <w:szCs w:val="24"/>
        </w:rPr>
        <w:t>ú.</w:t>
      </w:r>
      <w:proofErr w:type="spellEnd"/>
      <w:r>
        <w:rPr>
          <w:sz w:val="24"/>
          <w:szCs w:val="24"/>
        </w:rPr>
        <w:t xml:space="preserve"> Pavlovice u Přerova</w:t>
      </w:r>
      <w:r w:rsidR="00403E98">
        <w:rPr>
          <w:sz w:val="24"/>
          <w:szCs w:val="24"/>
        </w:rPr>
        <w:t xml:space="preserve"> </w:t>
      </w:r>
      <w:r w:rsidR="00403E98" w:rsidRPr="00403E98">
        <w:rPr>
          <w:sz w:val="24"/>
          <w:szCs w:val="24"/>
        </w:rPr>
        <w:t xml:space="preserve">o celkové výměře 6770 m² (6220 m² + 550 m²) zapsaného na LV č. 10001 u Katastrálního úřadu pro Olomoucký kraj, katastrální pracoviště Přerov pro k. </w:t>
      </w:r>
      <w:proofErr w:type="spellStart"/>
      <w:r w:rsidR="00403E98" w:rsidRPr="00403E98">
        <w:rPr>
          <w:sz w:val="24"/>
          <w:szCs w:val="24"/>
        </w:rPr>
        <w:t>ú.</w:t>
      </w:r>
      <w:proofErr w:type="spellEnd"/>
      <w:r w:rsidR="00403E98" w:rsidRPr="00403E98">
        <w:rPr>
          <w:sz w:val="24"/>
          <w:szCs w:val="24"/>
        </w:rPr>
        <w:t xml:space="preserve"> Pavlovice u Přerova, obec Pavlovice u Přerova</w:t>
      </w:r>
    </w:p>
    <w:p w:rsidR="00A036A3" w:rsidRPr="00403E98" w:rsidRDefault="00A036A3" w:rsidP="00403E98">
      <w:pPr>
        <w:numPr>
          <w:ilvl w:val="0"/>
          <w:numId w:val="11"/>
        </w:numPr>
        <w:tabs>
          <w:tab w:val="clear" w:pos="720"/>
        </w:tabs>
        <w:autoSpaceDE/>
        <w:autoSpaceDN/>
        <w:spacing w:line="276" w:lineRule="auto"/>
        <w:ind w:left="426"/>
        <w:jc w:val="both"/>
        <w:rPr>
          <w:sz w:val="24"/>
          <w:szCs w:val="24"/>
        </w:rPr>
      </w:pPr>
      <w:r w:rsidRPr="00403E98">
        <w:rPr>
          <w:sz w:val="24"/>
          <w:szCs w:val="24"/>
        </w:rPr>
        <w:t xml:space="preserve">Předmětem této smlouvy je nájem hrobového místa na </w:t>
      </w:r>
      <w:r w:rsidR="00403E98" w:rsidRPr="00403E98">
        <w:rPr>
          <w:sz w:val="24"/>
          <w:szCs w:val="24"/>
        </w:rPr>
        <w:t xml:space="preserve">veřejném </w:t>
      </w:r>
      <w:r w:rsidRPr="00403E98">
        <w:rPr>
          <w:sz w:val="24"/>
          <w:szCs w:val="24"/>
        </w:rPr>
        <w:t xml:space="preserve">pohřebišti </w:t>
      </w:r>
      <w:r w:rsidRPr="00403E98">
        <w:rPr>
          <w:b/>
          <w:sz w:val="24"/>
          <w:szCs w:val="24"/>
        </w:rPr>
        <w:t xml:space="preserve">na dobu </w:t>
      </w:r>
      <w:r w:rsidR="00403E98" w:rsidRPr="00403E98">
        <w:rPr>
          <w:b/>
          <w:sz w:val="24"/>
          <w:szCs w:val="24"/>
        </w:rPr>
        <w:t>ne</w:t>
      </w:r>
      <w:r w:rsidRPr="00403E98">
        <w:rPr>
          <w:b/>
          <w:sz w:val="24"/>
          <w:szCs w:val="24"/>
        </w:rPr>
        <w:t>určitou</w:t>
      </w:r>
      <w:r w:rsidRPr="00403E98">
        <w:rPr>
          <w:sz w:val="24"/>
          <w:szCs w:val="24"/>
        </w:rPr>
        <w:t>, a to:</w:t>
      </w:r>
    </w:p>
    <w:p w:rsidR="00A036A3" w:rsidRDefault="00E45C08" w:rsidP="00893904">
      <w:pPr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oddělení:</w:t>
      </w:r>
      <w:r w:rsidR="007A5C3C">
        <w:rPr>
          <w:b/>
          <w:sz w:val="24"/>
          <w:szCs w:val="24"/>
        </w:rPr>
        <w:t xml:space="preserve">  </w:t>
      </w:r>
      <w:r w:rsidR="007A5C3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="00A036A3" w:rsidRPr="00955D71">
        <w:rPr>
          <w:b/>
          <w:sz w:val="24"/>
          <w:szCs w:val="24"/>
        </w:rPr>
        <w:t>řada:</w:t>
      </w:r>
    </w:p>
    <w:p w:rsidR="007A5C3C" w:rsidRDefault="00E45C08" w:rsidP="00893904">
      <w:pPr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Pro typ:</w:t>
      </w:r>
      <w:r w:rsidRPr="00E45C08">
        <w:rPr>
          <w:b/>
          <w:sz w:val="24"/>
          <w:szCs w:val="24"/>
        </w:rPr>
        <w:t xml:space="preserve"> </w:t>
      </w:r>
    </w:p>
    <w:p w:rsidR="00A036A3" w:rsidRPr="00955D71" w:rsidRDefault="00A036A3" w:rsidP="00893904">
      <w:pPr>
        <w:spacing w:line="276" w:lineRule="auto"/>
        <w:ind w:left="426"/>
        <w:rPr>
          <w:b/>
          <w:sz w:val="24"/>
          <w:szCs w:val="24"/>
        </w:rPr>
      </w:pPr>
      <w:r w:rsidRPr="00955D71">
        <w:rPr>
          <w:b/>
          <w:sz w:val="24"/>
          <w:szCs w:val="24"/>
        </w:rPr>
        <w:t>evidenční číslo:</w:t>
      </w:r>
    </w:p>
    <w:p w:rsidR="00A036A3" w:rsidRPr="00955D71" w:rsidRDefault="00A036A3" w:rsidP="00893904">
      <w:pPr>
        <w:spacing w:line="276" w:lineRule="auto"/>
        <w:ind w:left="426"/>
        <w:rPr>
          <w:b/>
          <w:sz w:val="24"/>
          <w:szCs w:val="24"/>
        </w:rPr>
      </w:pPr>
      <w:r w:rsidRPr="00955D71">
        <w:rPr>
          <w:b/>
          <w:sz w:val="24"/>
          <w:szCs w:val="24"/>
        </w:rPr>
        <w:t xml:space="preserve">plocha: cca </w:t>
      </w:r>
      <w:r w:rsidR="00304927">
        <w:rPr>
          <w:b/>
          <w:sz w:val="24"/>
          <w:szCs w:val="24"/>
        </w:rPr>
        <w:t>2</w:t>
      </w:r>
      <w:r w:rsidRPr="00661F4D">
        <w:rPr>
          <w:b/>
          <w:color w:val="FF0000"/>
          <w:sz w:val="24"/>
          <w:szCs w:val="24"/>
        </w:rPr>
        <w:t xml:space="preserve"> </w:t>
      </w:r>
      <w:r w:rsidRPr="00661F4D">
        <w:rPr>
          <w:b/>
          <w:sz w:val="24"/>
          <w:szCs w:val="24"/>
        </w:rPr>
        <w:t>m</w:t>
      </w:r>
      <w:r w:rsidRPr="00955D71">
        <w:rPr>
          <w:b/>
          <w:sz w:val="24"/>
          <w:szCs w:val="24"/>
          <w:vertAlign w:val="superscript"/>
        </w:rPr>
        <w:t>2</w:t>
      </w:r>
    </w:p>
    <w:p w:rsidR="00A036A3" w:rsidRPr="00A05192" w:rsidRDefault="00A036A3" w:rsidP="00893904">
      <w:pPr>
        <w:spacing w:line="276" w:lineRule="auto"/>
        <w:ind w:left="426"/>
        <w:rPr>
          <w:b/>
          <w:sz w:val="24"/>
          <w:szCs w:val="24"/>
        </w:rPr>
      </w:pPr>
      <w:r w:rsidRPr="00955D71">
        <w:rPr>
          <w:b/>
          <w:sz w:val="24"/>
          <w:szCs w:val="24"/>
        </w:rPr>
        <w:t xml:space="preserve">počet hrobových míst: </w:t>
      </w:r>
    </w:p>
    <w:p w:rsidR="00535EC9" w:rsidRDefault="00E45C08" w:rsidP="00893904">
      <w:pPr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popis hrobového zařízení</w:t>
      </w:r>
      <w:r w:rsidR="00535EC9">
        <w:rPr>
          <w:b/>
          <w:sz w:val="24"/>
          <w:szCs w:val="24"/>
        </w:rPr>
        <w:t xml:space="preserve"> </w:t>
      </w:r>
      <w:r w:rsidR="00535EC9" w:rsidRPr="00B20C28">
        <w:rPr>
          <w:bCs/>
          <w:sz w:val="24"/>
          <w:szCs w:val="24"/>
        </w:rPr>
        <w:t>(vyplňte prosím)</w:t>
      </w:r>
      <w:r>
        <w:rPr>
          <w:b/>
          <w:sz w:val="24"/>
          <w:szCs w:val="24"/>
        </w:rPr>
        <w:t>:</w:t>
      </w:r>
      <w:r w:rsidR="007A5C3C">
        <w:rPr>
          <w:b/>
          <w:sz w:val="24"/>
          <w:szCs w:val="24"/>
        </w:rPr>
        <w:t xml:space="preserve"> </w:t>
      </w:r>
    </w:p>
    <w:p w:rsidR="00535EC9" w:rsidRDefault="00535EC9" w:rsidP="00893904">
      <w:pPr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</w:t>
      </w:r>
    </w:p>
    <w:p w:rsidR="00535EC9" w:rsidRPr="00535EC9" w:rsidRDefault="00535EC9" w:rsidP="00535EC9">
      <w:pPr>
        <w:spacing w:line="276" w:lineRule="auto"/>
        <w:ind w:left="426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5C08" w:rsidRPr="00535EC9">
        <w:rPr>
          <w:bCs/>
          <w:sz w:val="24"/>
          <w:szCs w:val="24"/>
        </w:rPr>
        <w:t>(</w:t>
      </w:r>
      <w:r w:rsidRPr="00535EC9">
        <w:rPr>
          <w:bCs/>
          <w:sz w:val="24"/>
          <w:szCs w:val="24"/>
        </w:rPr>
        <w:t>rám, krycí deska, pomník, kříž, váza, lampa, socha)</w:t>
      </w:r>
    </w:p>
    <w:p w:rsidR="00535EC9" w:rsidRDefault="00535EC9" w:rsidP="00535EC9">
      <w:pPr>
        <w:spacing w:line="276" w:lineRule="auto"/>
        <w:ind w:left="426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(dále jen "předmět smlouvy" nebo "předmětné hrobové místo")</w:t>
      </w:r>
    </w:p>
    <w:p w:rsidR="00535EC9" w:rsidRDefault="00535EC9" w:rsidP="00535EC9">
      <w:pPr>
        <w:spacing w:line="276" w:lineRule="auto"/>
        <w:ind w:left="426"/>
        <w:rPr>
          <w:sz w:val="23"/>
          <w:szCs w:val="23"/>
        </w:rPr>
      </w:pPr>
    </w:p>
    <w:p w:rsidR="00535EC9" w:rsidRPr="00535EC9" w:rsidRDefault="00535EC9" w:rsidP="00535EC9">
      <w:pPr>
        <w:pStyle w:val="Odstavecseseznamem"/>
        <w:numPr>
          <w:ilvl w:val="0"/>
          <w:numId w:val="18"/>
        </w:num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Obsah smlouvy</w:t>
      </w:r>
    </w:p>
    <w:p w:rsidR="00535EC9" w:rsidRDefault="00535EC9" w:rsidP="00535EC9">
      <w:pPr>
        <w:spacing w:line="276" w:lineRule="auto"/>
        <w:ind w:left="426"/>
        <w:jc w:val="both"/>
        <w:rPr>
          <w:bCs/>
          <w:sz w:val="24"/>
          <w:szCs w:val="24"/>
        </w:rPr>
      </w:pPr>
      <w:r w:rsidRPr="00535EC9">
        <w:rPr>
          <w:bCs/>
          <w:sz w:val="24"/>
          <w:szCs w:val="24"/>
        </w:rPr>
        <w:t xml:space="preserve">Touto nájemní smlouvou se pronajímatel zavazuje přenechat nájemci hrobové místo </w:t>
      </w:r>
      <w:r>
        <w:rPr>
          <w:bCs/>
          <w:sz w:val="24"/>
          <w:szCs w:val="24"/>
        </w:rPr>
        <w:br/>
      </w:r>
      <w:r w:rsidRPr="00535EC9">
        <w:rPr>
          <w:bCs/>
          <w:sz w:val="24"/>
          <w:szCs w:val="24"/>
        </w:rPr>
        <w:t xml:space="preserve">k dočasnému užívání na dobu </w:t>
      </w:r>
      <w:r>
        <w:rPr>
          <w:bCs/>
          <w:sz w:val="24"/>
          <w:szCs w:val="24"/>
        </w:rPr>
        <w:t>ne</w:t>
      </w:r>
      <w:r w:rsidRPr="00535EC9">
        <w:rPr>
          <w:bCs/>
          <w:sz w:val="24"/>
          <w:szCs w:val="24"/>
        </w:rPr>
        <w:t>určitou</w:t>
      </w:r>
      <w:r>
        <w:rPr>
          <w:bCs/>
          <w:sz w:val="24"/>
          <w:szCs w:val="24"/>
        </w:rPr>
        <w:t xml:space="preserve"> a nájemce se zavazuje platit za to pronajímateli nájemné a úhrady za služby spojené s nájmem.</w:t>
      </w:r>
    </w:p>
    <w:p w:rsidR="00535EC9" w:rsidRDefault="00535EC9" w:rsidP="00535EC9">
      <w:pPr>
        <w:spacing w:line="276" w:lineRule="auto"/>
        <w:ind w:left="426"/>
        <w:jc w:val="both"/>
        <w:rPr>
          <w:bCs/>
          <w:sz w:val="24"/>
          <w:szCs w:val="24"/>
        </w:rPr>
      </w:pPr>
    </w:p>
    <w:p w:rsidR="00535EC9" w:rsidRPr="00535EC9" w:rsidRDefault="00535EC9" w:rsidP="00535EC9">
      <w:pPr>
        <w:pStyle w:val="Odstavecseseznamem"/>
        <w:numPr>
          <w:ilvl w:val="0"/>
          <w:numId w:val="18"/>
        </w:numPr>
        <w:spacing w:line="276" w:lineRule="auto"/>
        <w:jc w:val="center"/>
        <w:rPr>
          <w:b/>
          <w:sz w:val="24"/>
          <w:szCs w:val="24"/>
        </w:rPr>
      </w:pPr>
      <w:r w:rsidRPr="00535EC9">
        <w:rPr>
          <w:b/>
          <w:sz w:val="24"/>
          <w:szCs w:val="24"/>
        </w:rPr>
        <w:t>Práva a povinnosti smluvních stran</w:t>
      </w:r>
    </w:p>
    <w:p w:rsidR="00A036A3" w:rsidRPr="00FA3BE8" w:rsidRDefault="00A036A3" w:rsidP="00FA3BE8">
      <w:pPr>
        <w:pStyle w:val="Odstavecseseznamem"/>
        <w:numPr>
          <w:ilvl w:val="0"/>
          <w:numId w:val="19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FA3BE8">
        <w:rPr>
          <w:sz w:val="24"/>
          <w:szCs w:val="24"/>
        </w:rPr>
        <w:t xml:space="preserve">Pronajímatel předává nájemci předmětné hrobové místo bez hrobového zařízení bezodkladně po podpisu smlouvy. Nájemce hrobové místo do nájmu přijímá, bere na vědomí, že je povinen zaplatit nájemné a za služby spojené s nájmem dle této smlouvy </w:t>
      </w:r>
      <w:r w:rsidRPr="00FA3BE8">
        <w:rPr>
          <w:sz w:val="24"/>
          <w:szCs w:val="24"/>
        </w:rPr>
        <w:lastRenderedPageBreak/>
        <w:t xml:space="preserve">a užívat předmět nájmu za podmínek stanovených aktuálními zákony, platným Řádem veřejného pohřebiště a touto smlouvou. </w:t>
      </w:r>
    </w:p>
    <w:p w:rsidR="00FA3BE8" w:rsidRPr="00FA3BE8" w:rsidRDefault="00FA3BE8" w:rsidP="00FA3BE8">
      <w:pPr>
        <w:pStyle w:val="Odstavecseseznamem"/>
        <w:numPr>
          <w:ilvl w:val="0"/>
          <w:numId w:val="19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FA3BE8">
        <w:rPr>
          <w:sz w:val="24"/>
          <w:szCs w:val="24"/>
        </w:rPr>
        <w:t>Pronajímatel se touto smlouvou zavazuje:</w:t>
      </w:r>
    </w:p>
    <w:p w:rsidR="00FA3BE8" w:rsidRPr="00955D71" w:rsidRDefault="00FA3BE8" w:rsidP="00FA3BE8">
      <w:pPr>
        <w:spacing w:line="276" w:lineRule="auto"/>
        <w:ind w:left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a) provozovat veřejné pohřebiště, jehož součástí je předmětné hrobové místo nájemce, v souladu s platným Řádem veřejného pohřebiště, zákonem o pohřebnictví ve znění pozdějších předpisů a zvláštními právními předpisy s tímto souvisejícími</w:t>
      </w:r>
    </w:p>
    <w:p w:rsidR="00FA3BE8" w:rsidRPr="00955D71" w:rsidRDefault="00FA3BE8" w:rsidP="00FA3BE8">
      <w:pPr>
        <w:spacing w:line="276" w:lineRule="auto"/>
        <w:ind w:left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b) předat nájemci k užívání zaměřené, vyznačené a číselně označené hrobové místo</w:t>
      </w:r>
    </w:p>
    <w:p w:rsidR="00FA3BE8" w:rsidRPr="00955D71" w:rsidRDefault="00FA3BE8" w:rsidP="00FA3BE8">
      <w:pPr>
        <w:spacing w:line="276" w:lineRule="auto"/>
        <w:ind w:left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 xml:space="preserve">c) umožnit nájemci užívání hrobového místa, zařízení pohřebiště, zřízení hrobového zařízení hrobu a jeho opravu a údržbu a podmínek stanovených v Řádu veřejného pohřebiště </w:t>
      </w:r>
    </w:p>
    <w:p w:rsidR="00FA3BE8" w:rsidRPr="00955D71" w:rsidRDefault="00FA3BE8" w:rsidP="00FA3BE8">
      <w:pPr>
        <w:spacing w:line="276" w:lineRule="auto"/>
        <w:ind w:left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d) prodloužit nájemní smlouvu na další dobu určitou, pokud o to nájemce požádá před uplynutím sjednané nájemní doby za předpokladu, že nájemce plní své povinnosti dané mu touto smlouvou a ustanovením § 25 odst. 4 zákona o pohřebnictví ve znění pozdějších předpisů a nemá dluh na nájemném nebo na úhradách za služby s nájmem spojené.</w:t>
      </w:r>
    </w:p>
    <w:p w:rsidR="00FA3BE8" w:rsidRPr="00FA3BE8" w:rsidRDefault="00FA3BE8" w:rsidP="00FA3BE8">
      <w:pPr>
        <w:pStyle w:val="Odstavecseseznamem"/>
        <w:numPr>
          <w:ilvl w:val="0"/>
          <w:numId w:val="19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FA3BE8">
        <w:rPr>
          <w:sz w:val="24"/>
          <w:szCs w:val="24"/>
        </w:rPr>
        <w:t>Pronajímatel nezodpovídá za škody způsobené na hrobovém zařízení třetí osobou nebo vyšší mocí.</w:t>
      </w:r>
    </w:p>
    <w:p w:rsidR="00FA3BE8" w:rsidRPr="00FA3BE8" w:rsidRDefault="00FA3BE8" w:rsidP="00FA3BE8">
      <w:pPr>
        <w:pStyle w:val="Odstavecseseznamem"/>
        <w:numPr>
          <w:ilvl w:val="0"/>
          <w:numId w:val="19"/>
        </w:numPr>
        <w:autoSpaceDE/>
        <w:autoSpaceDN/>
        <w:spacing w:before="240" w:line="276" w:lineRule="auto"/>
        <w:jc w:val="both"/>
        <w:rPr>
          <w:sz w:val="24"/>
          <w:szCs w:val="24"/>
        </w:rPr>
      </w:pPr>
      <w:r w:rsidRPr="00FA3BE8">
        <w:rPr>
          <w:sz w:val="24"/>
          <w:szCs w:val="24"/>
        </w:rPr>
        <w:t>Nájemce se touto smlouvou zavazuje:</w:t>
      </w:r>
    </w:p>
    <w:p w:rsidR="00FA3BE8" w:rsidRPr="00893904" w:rsidRDefault="00FA3BE8" w:rsidP="00FA3BE8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užívat a udržovat pronajaté hrobové místo včetně hrobového zařízení v řádném stavu v souladu s platným Řádem veřejného pohřebiště a zákonem o pohřebnictví ve znění pozdějších předpisů tak, aby nebyla rušena nad obvyklou míru práva jiných nájemců či správce pohřebiště,</w:t>
      </w:r>
    </w:p>
    <w:p w:rsidR="00FA3BE8" w:rsidRDefault="00FA3BE8" w:rsidP="00FA3BE8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zřídit hrobové zařízení, včetně jeho úprav a změn, na základě písemné žádosti obsahující dokumentaci projektu a až po písemném vyjádření provozovatele pohřebiště</w:t>
      </w:r>
      <w:r>
        <w:rPr>
          <w:sz w:val="24"/>
          <w:szCs w:val="24"/>
        </w:rPr>
        <w:t>,</w:t>
      </w:r>
    </w:p>
    <w:p w:rsidR="00FA3BE8" w:rsidRPr="00893904" w:rsidRDefault="00FA3BE8" w:rsidP="00FA3BE8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oznámit správci pohřebiště osobu, na kterou bylo převedeno vlastnické právo k hrobovému zařízení a další změny právních skutečností, které se udály za trvání účinnosti této nájemní smlouvy a údajů potřebných pro vedení evidence veřejného pohřebiště,</w:t>
      </w:r>
    </w:p>
    <w:p w:rsidR="00FA3BE8" w:rsidRPr="00893904" w:rsidRDefault="00FA3BE8" w:rsidP="00FA3BE8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strpět  v případě nutnosti v nezbytném rozsahu a na nezbytně nutnou dobu uložení zařízení potřebného pro vybudování, případně obnovu sousedního hrobového místa v nejbližším okolí svého pronajatého hrobového místa,</w:t>
      </w:r>
    </w:p>
    <w:p w:rsidR="00FA3BE8" w:rsidRPr="00893904" w:rsidRDefault="00FA3BE8" w:rsidP="00FA3BE8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v případě vydání zákazu pohřbívání, nebo rozhodnutí o zrušení pohřebiště, plnit povinnosti stanovené zákonem o pohřebnictví a Řádem veřejného pohřebiště,</w:t>
      </w:r>
    </w:p>
    <w:p w:rsidR="00E71DF2" w:rsidRDefault="00FA3BE8" w:rsidP="00E71DF2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893904">
        <w:rPr>
          <w:sz w:val="24"/>
          <w:szCs w:val="24"/>
        </w:rPr>
        <w:t>požádat o exhumaci jak nezpopelněných, tak zpopelněných lidských ostatků, a to pouze za podmínek stanovených zákonem o pohřebnictví a Řádem veřejného pohřebiště,</w:t>
      </w:r>
    </w:p>
    <w:p w:rsidR="00E71DF2" w:rsidRPr="00E71DF2" w:rsidRDefault="00E71DF2" w:rsidP="00E71DF2">
      <w:pPr>
        <w:pStyle w:val="Odstavecseseznamem"/>
        <w:numPr>
          <w:ilvl w:val="1"/>
          <w:numId w:val="12"/>
        </w:numPr>
        <w:tabs>
          <w:tab w:val="clear" w:pos="1440"/>
        </w:tabs>
        <w:spacing w:line="276" w:lineRule="auto"/>
        <w:ind w:left="709"/>
        <w:jc w:val="both"/>
        <w:rPr>
          <w:sz w:val="24"/>
          <w:szCs w:val="24"/>
        </w:rPr>
      </w:pPr>
      <w:r w:rsidRPr="00E71DF2">
        <w:rPr>
          <w:sz w:val="24"/>
          <w:szCs w:val="24"/>
        </w:rPr>
        <w:t>Podnájem hrobového místa nájemcem je zakázán.</w:t>
      </w:r>
    </w:p>
    <w:p w:rsidR="00A036A3" w:rsidRPr="00955D71" w:rsidRDefault="00A036A3" w:rsidP="00A036A3">
      <w:pPr>
        <w:jc w:val="both"/>
        <w:rPr>
          <w:sz w:val="24"/>
          <w:szCs w:val="24"/>
        </w:rPr>
      </w:pPr>
    </w:p>
    <w:p w:rsidR="00A036A3" w:rsidRPr="00FA3BE8" w:rsidRDefault="00FA3BE8" w:rsidP="00FA3BE8">
      <w:pPr>
        <w:pStyle w:val="Odstavecseseznamem"/>
        <w:numPr>
          <w:ilvl w:val="0"/>
          <w:numId w:val="18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za nájem hrobového místa</w:t>
      </w:r>
    </w:p>
    <w:p w:rsidR="00FA3BE8" w:rsidRDefault="00FA3BE8" w:rsidP="00893904">
      <w:pPr>
        <w:pStyle w:val="Zkladntext2"/>
        <w:numPr>
          <w:ilvl w:val="0"/>
          <w:numId w:val="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 w:line="276" w:lineRule="auto"/>
      </w:pPr>
      <w:r w:rsidRPr="00FA3BE8">
        <w:t>Cena za nájem hrobového místa (dále jen "cena") se skládá z nájemného a z úhrad za služby spojené s nájmem.</w:t>
      </w:r>
      <w:r>
        <w:t xml:space="preserve"> Cena je stanovena v Ceníku… schváleném radou obce Pavlovice u Přerova a byla sjednána v souladu s platným cenovým výměrem</w:t>
      </w:r>
      <w:r w:rsidR="00B20C28">
        <w:t>,</w:t>
      </w:r>
      <w:r>
        <w:t xml:space="preserve"> vydaným Ministerstvem financí</w:t>
      </w:r>
      <w:r w:rsidR="00B0269B">
        <w:t xml:space="preserve"> </w:t>
      </w:r>
      <w:r w:rsidR="00B20C28">
        <w:t xml:space="preserve">pod </w:t>
      </w:r>
      <w:r w:rsidR="00B0269B">
        <w:t>č. 01/2019.</w:t>
      </w:r>
    </w:p>
    <w:p w:rsidR="00452ABD" w:rsidRDefault="00452ABD" w:rsidP="00893904">
      <w:pPr>
        <w:pStyle w:val="Zkladntext2"/>
        <w:numPr>
          <w:ilvl w:val="0"/>
          <w:numId w:val="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 w:line="276" w:lineRule="auto"/>
      </w:pPr>
      <w:r>
        <w:t xml:space="preserve">Nájem a úhrada za služby spojené s nájmem jsou splatné předem jednorázově na dobu </w:t>
      </w:r>
      <w:r w:rsidR="00B20C28">
        <w:br/>
      </w:r>
      <w:r>
        <w:t>15-ti let, a to nejpozději do 3 měsíců ode dne podpisu této smlouvy na účet vedený u ČS a.s., Přerov číslo: 1882950319/0800 nebo v hotovosti na pokladně obecního úřadu.</w:t>
      </w:r>
    </w:p>
    <w:p w:rsidR="00A036A3" w:rsidRDefault="00A036A3" w:rsidP="00893904">
      <w:pPr>
        <w:pStyle w:val="Zkladntext2"/>
        <w:numPr>
          <w:ilvl w:val="0"/>
          <w:numId w:val="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 w:line="276" w:lineRule="auto"/>
      </w:pPr>
      <w:r w:rsidRPr="00955D71">
        <w:lastRenderedPageBreak/>
        <w:t>Cena za služby s nájmem spojené zahrnuje podíl nákladů na služby, které jsou dle zákona o pohřebnictví, nutné k zajištění řádného běžného provozu celého pohřebiště, jako údržba zeleně, komunikací, hřbitovního zařízení včetně spotřeby vody, sečení a úklid trávy, likvidace odpadů, provozu správy pohřebiště a vedení evidence.</w:t>
      </w:r>
    </w:p>
    <w:p w:rsidR="00ED1B02" w:rsidRPr="00955D71" w:rsidRDefault="00ED1B02" w:rsidP="00893904">
      <w:pPr>
        <w:pStyle w:val="Zkladntext2"/>
        <w:numPr>
          <w:ilvl w:val="0"/>
          <w:numId w:val="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 w:line="276" w:lineRule="auto"/>
      </w:pPr>
      <w:r w:rsidRPr="00ED1B02">
        <w:t>Pronajímatel si vyhrazuje právo provést změnu ceny za nájem hrobového místa v případě výrazného nárůstu nákladů na služby. O změně ceny za nájem hrobového místa je pronajímatel povinen</w:t>
      </w:r>
      <w:r>
        <w:t xml:space="preserve"> </w:t>
      </w:r>
      <w:r w:rsidRPr="00ED1B02">
        <w:t>písemně předem informovat nájemce. Není-li mu trvalý pobyt nebo sídlo známo, uveřejní pronajímatel inf</w:t>
      </w:r>
      <w:r>
        <w:t>o</w:t>
      </w:r>
      <w:r w:rsidRPr="00ED1B02">
        <w:t>rmaci o změně ceny za nájem hrobového místa předem na veřejném pohřebišti způsobem, který je v místě obvyklý.</w:t>
      </w:r>
    </w:p>
    <w:p w:rsidR="00A036A3" w:rsidRPr="00A05192" w:rsidRDefault="00B0269B" w:rsidP="00893904">
      <w:pPr>
        <w:pStyle w:val="Zkladntext"/>
        <w:numPr>
          <w:ilvl w:val="0"/>
          <w:numId w:val="5"/>
        </w:numPr>
        <w:spacing w:before="240" w:line="276" w:lineRule="auto"/>
        <w:rPr>
          <w:b/>
          <w:bCs/>
        </w:rPr>
      </w:pPr>
      <w:r>
        <w:t xml:space="preserve">Cena je stanovena ve výši: nájemné </w:t>
      </w:r>
      <w:r w:rsidR="00304927">
        <w:rPr>
          <w:b/>
          <w:bCs/>
        </w:rPr>
        <w:t>15</w:t>
      </w:r>
      <w:r w:rsidR="00A05192" w:rsidRPr="00A05192">
        <w:rPr>
          <w:b/>
          <w:bCs/>
        </w:rPr>
        <w:t xml:space="preserve">,- </w:t>
      </w:r>
      <w:r w:rsidRPr="00A05192">
        <w:rPr>
          <w:b/>
          <w:bCs/>
        </w:rPr>
        <w:t>Kč/</w:t>
      </w:r>
      <w:r w:rsidR="00661F4D" w:rsidRPr="00A05192">
        <w:rPr>
          <w:b/>
          <w:bCs/>
        </w:rPr>
        <w:t xml:space="preserve"> m</w:t>
      </w:r>
      <w:r w:rsidR="00661F4D" w:rsidRPr="00A05192">
        <w:rPr>
          <w:b/>
          <w:bCs/>
          <w:vertAlign w:val="superscript"/>
        </w:rPr>
        <w:t>2</w:t>
      </w:r>
      <w:r w:rsidRPr="00A05192">
        <w:rPr>
          <w:b/>
          <w:bCs/>
        </w:rPr>
        <w:t>/rok</w:t>
      </w:r>
    </w:p>
    <w:p w:rsidR="00B0269B" w:rsidRPr="00B20C28" w:rsidRDefault="00B0269B" w:rsidP="00B0269B">
      <w:pPr>
        <w:pStyle w:val="Zkladntext"/>
        <w:spacing w:before="240" w:line="276" w:lineRule="auto"/>
        <w:ind w:left="360"/>
      </w:pPr>
      <w:r>
        <w:t>Služby spojené s</w:t>
      </w:r>
      <w:r w:rsidR="00A05192">
        <w:t> </w:t>
      </w:r>
      <w:r>
        <w:t>nájmem</w:t>
      </w:r>
      <w:r w:rsidR="00A05192">
        <w:t xml:space="preserve"> </w:t>
      </w:r>
      <w:r w:rsidR="00A05192" w:rsidRPr="00A05192">
        <w:rPr>
          <w:b/>
          <w:bCs/>
        </w:rPr>
        <w:t xml:space="preserve">35,- </w:t>
      </w:r>
      <w:r w:rsidRPr="00A05192">
        <w:rPr>
          <w:b/>
          <w:bCs/>
        </w:rPr>
        <w:t>.Kč/</w:t>
      </w:r>
      <w:r w:rsidR="00661F4D" w:rsidRPr="00A05192">
        <w:rPr>
          <w:b/>
          <w:bCs/>
        </w:rPr>
        <w:t xml:space="preserve"> m</w:t>
      </w:r>
      <w:r w:rsidR="00661F4D" w:rsidRPr="00A05192">
        <w:rPr>
          <w:b/>
          <w:bCs/>
          <w:vertAlign w:val="superscript"/>
        </w:rPr>
        <w:t>2</w:t>
      </w:r>
      <w:r w:rsidRPr="00A05192">
        <w:rPr>
          <w:b/>
          <w:bCs/>
        </w:rPr>
        <w:t>/rok</w:t>
      </w:r>
    </w:p>
    <w:p w:rsidR="00B0269B" w:rsidRDefault="00B0269B" w:rsidP="00B0269B">
      <w:pPr>
        <w:pStyle w:val="Zkladntext"/>
        <w:spacing w:before="240" w:line="276" w:lineRule="auto"/>
        <w:ind w:left="360"/>
      </w:pPr>
      <w:r>
        <w:t xml:space="preserve">Cena za nájem hrobového místa celkem </w:t>
      </w:r>
      <w:r w:rsidR="00304927">
        <w:rPr>
          <w:b/>
          <w:bCs/>
        </w:rPr>
        <w:t>65</w:t>
      </w:r>
      <w:r w:rsidR="00A05192" w:rsidRPr="00A05192">
        <w:rPr>
          <w:b/>
          <w:bCs/>
        </w:rPr>
        <w:t xml:space="preserve">,- </w:t>
      </w:r>
      <w:r w:rsidRPr="00A05192">
        <w:rPr>
          <w:b/>
          <w:bCs/>
        </w:rPr>
        <w:t>Kč/rok</w:t>
      </w:r>
      <w:r>
        <w:t>.</w:t>
      </w:r>
    </w:p>
    <w:p w:rsidR="00893904" w:rsidRPr="00893904" w:rsidRDefault="00893904" w:rsidP="00893904">
      <w:pPr>
        <w:pStyle w:val="Zkladntext"/>
        <w:ind w:left="360"/>
      </w:pPr>
    </w:p>
    <w:p w:rsidR="00955D71" w:rsidRPr="00955D71" w:rsidRDefault="00955D71" w:rsidP="00955D71">
      <w:pPr>
        <w:pStyle w:val="Odstavecseseznamem"/>
        <w:autoSpaceDE/>
        <w:autoSpaceDN/>
        <w:spacing w:line="276" w:lineRule="auto"/>
        <w:ind w:left="426"/>
        <w:jc w:val="both"/>
        <w:rPr>
          <w:sz w:val="24"/>
          <w:szCs w:val="24"/>
        </w:rPr>
      </w:pPr>
    </w:p>
    <w:p w:rsidR="00807F8E" w:rsidRPr="00955D71" w:rsidRDefault="00E71DF2" w:rsidP="00E71DF2">
      <w:pPr>
        <w:pStyle w:val="Zkladntext2"/>
        <w:numPr>
          <w:ilvl w:val="0"/>
          <w:numId w:val="18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after="240"/>
        <w:jc w:val="center"/>
        <w:rPr>
          <w:b/>
          <w:bCs/>
        </w:rPr>
      </w:pPr>
      <w:r>
        <w:rPr>
          <w:b/>
          <w:bCs/>
        </w:rPr>
        <w:t>Skončení nájmu</w:t>
      </w:r>
    </w:p>
    <w:p w:rsidR="00807F8E" w:rsidRPr="00955D71" w:rsidRDefault="00E71DF2" w:rsidP="00955D71">
      <w:pPr>
        <w:numPr>
          <w:ilvl w:val="0"/>
          <w:numId w:val="14"/>
        </w:numPr>
        <w:autoSpaceDE/>
        <w:autoSpaceDN/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Nájem skončí</w:t>
      </w:r>
      <w:r w:rsidR="00807F8E" w:rsidRPr="00955D71">
        <w:rPr>
          <w:sz w:val="24"/>
          <w:szCs w:val="24"/>
        </w:rPr>
        <w:t>:</w:t>
      </w:r>
    </w:p>
    <w:p w:rsidR="00807F8E" w:rsidRPr="00955D71" w:rsidRDefault="00807F8E" w:rsidP="00955D71">
      <w:pPr>
        <w:numPr>
          <w:ilvl w:val="1"/>
          <w:numId w:val="14"/>
        </w:numPr>
        <w:autoSpaceDE/>
        <w:autoSpaceDN/>
        <w:spacing w:line="276" w:lineRule="auto"/>
        <w:ind w:left="709" w:hanging="283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dohodou smluvních stran</w:t>
      </w:r>
    </w:p>
    <w:p w:rsidR="00807F8E" w:rsidRPr="00955D71" w:rsidRDefault="00807F8E" w:rsidP="00955D71">
      <w:pPr>
        <w:numPr>
          <w:ilvl w:val="1"/>
          <w:numId w:val="14"/>
        </w:numPr>
        <w:autoSpaceDE/>
        <w:autoSpaceDN/>
        <w:spacing w:line="276" w:lineRule="auto"/>
        <w:ind w:left="709" w:hanging="283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odstoupením od smlouvy ze strany nájemce i bez uvedení důvodu za předpokladu, že na pronajatém hrobovém místě nejsou uloženy lidské ostatky v tlecí době</w:t>
      </w:r>
    </w:p>
    <w:p w:rsidR="00807F8E" w:rsidRPr="00955D71" w:rsidRDefault="00807F8E" w:rsidP="00955D71">
      <w:pPr>
        <w:numPr>
          <w:ilvl w:val="1"/>
          <w:numId w:val="14"/>
        </w:numPr>
        <w:autoSpaceDE/>
        <w:autoSpaceDN/>
        <w:spacing w:line="276" w:lineRule="auto"/>
        <w:ind w:left="709" w:hanging="283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odstoupením od smlouvy ze strany pronajímatele, jestliže nájemce neuhradí dlužné nájemné nebo úhradu za služby s nájmem spojené do 3 měsíců ode dne splatnosti nebo je-li hrobové místo užíváno v rozporu s touto smlouvou, pokud na pronajatém hrobovém místě nejsou uloženy lidské ostatky v tlecí době</w:t>
      </w:r>
    </w:p>
    <w:p w:rsidR="00807F8E" w:rsidRDefault="00807F8E" w:rsidP="00955D71">
      <w:pPr>
        <w:numPr>
          <w:ilvl w:val="1"/>
          <w:numId w:val="14"/>
        </w:numPr>
        <w:autoSpaceDE/>
        <w:autoSpaceDN/>
        <w:spacing w:line="276" w:lineRule="auto"/>
        <w:ind w:left="709" w:hanging="283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rozhodnutím o zrušení veřejného pohřebiště dle ustanovení § 24 zákona o pohřebnictví</w:t>
      </w:r>
    </w:p>
    <w:p w:rsidR="00E71DF2" w:rsidRDefault="00E71DF2" w:rsidP="00E71DF2">
      <w:p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 neskončí dříve, než uplyne stanovená tlecí doba uložených lidských ostatků.</w:t>
      </w:r>
    </w:p>
    <w:p w:rsidR="00E71DF2" w:rsidRPr="00955D71" w:rsidRDefault="00E71DF2" w:rsidP="00E71DF2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E71DF2" w:rsidRDefault="00807F8E" w:rsidP="00E71DF2">
      <w:pPr>
        <w:numPr>
          <w:ilvl w:val="0"/>
          <w:numId w:val="14"/>
        </w:numPr>
        <w:autoSpaceDE/>
        <w:autoSpaceDN/>
        <w:spacing w:before="120" w:line="276" w:lineRule="auto"/>
        <w:ind w:left="426" w:hanging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 xml:space="preserve">V případě odstoupení od smlouvy nájemcem končí platnost nájemní smlouvy dnem, ve kterém nájemce prokazatelně předal vyklizené hrobové místo provozovateli veřejného pohřebiště.  </w:t>
      </w:r>
      <w:r w:rsidRPr="00E71DF2">
        <w:rPr>
          <w:sz w:val="24"/>
          <w:szCs w:val="24"/>
        </w:rPr>
        <w:t>V případě odstoupení pronajímatelem platnost smlouvy končí dnem doručení platného odstoupení druhé smluvní straně na adresu uvedenou v záhlaví této smlouvy. U nevyzvednuté zásilky se písemnost považuje za doručenou uplynutím posledního dne úložní doby, po kterou je zásilka uložena u pošty.</w:t>
      </w:r>
    </w:p>
    <w:p w:rsidR="00E71DF2" w:rsidRDefault="00E71DF2" w:rsidP="00E71DF2">
      <w:pPr>
        <w:numPr>
          <w:ilvl w:val="0"/>
          <w:numId w:val="14"/>
        </w:numPr>
        <w:autoSpaceDE/>
        <w:autoSpaceDN/>
        <w:spacing w:before="120" w:line="276" w:lineRule="auto"/>
        <w:ind w:left="426" w:hanging="426"/>
        <w:jc w:val="both"/>
        <w:rPr>
          <w:sz w:val="24"/>
          <w:szCs w:val="24"/>
        </w:rPr>
      </w:pPr>
      <w:r w:rsidRPr="00E71DF2">
        <w:rPr>
          <w:sz w:val="24"/>
          <w:szCs w:val="24"/>
        </w:rPr>
        <w:t>V případě smrti nájemce, právo nájmu hrobového místa přechází na osobu, kterou nájemce určil. Není-li přechod nájmu na určenou osobu možný, anebo neurčil-li nájemce nikoho, přechází právo nájmu na jeho manžela, není-li ho, na jeho děti, není-li jich, na jeho rodiče, není-li jich, na jeho sourozence; nežijí-li, pak na jejich děti. Není-li přechod práva nájmu na žádnou z těchto osob možný, přechází právo nájmu na dědice zemřelého. Pokud právo nájmu hrobového místa</w:t>
      </w:r>
      <w:r>
        <w:rPr>
          <w:sz w:val="24"/>
          <w:szCs w:val="24"/>
        </w:rPr>
        <w:t xml:space="preserve"> </w:t>
      </w:r>
      <w:r w:rsidRPr="00E71DF2">
        <w:rPr>
          <w:sz w:val="24"/>
          <w:szCs w:val="24"/>
        </w:rPr>
        <w:t>přešlo na dědice, je povinen se legitimovat usnesením dědického soudu.</w:t>
      </w:r>
      <w:r>
        <w:rPr>
          <w:sz w:val="24"/>
          <w:szCs w:val="24"/>
        </w:rPr>
        <w:t xml:space="preserve"> </w:t>
      </w:r>
      <w:r w:rsidRPr="00E71DF2">
        <w:rPr>
          <w:sz w:val="24"/>
          <w:szCs w:val="24"/>
        </w:rPr>
        <w:t>Osoba, na niž právo nájmu přešlo, je povinna sdělit provozovateli pohřebiště bez zbytečného odkladu údaje potřebné pro vedení evidence veřejného pohřebiště.</w:t>
      </w:r>
    </w:p>
    <w:p w:rsidR="00B8493F" w:rsidRDefault="00B8493F" w:rsidP="00B8493F">
      <w:pPr>
        <w:autoSpaceDE/>
        <w:autoSpaceDN/>
        <w:spacing w:before="120" w:line="276" w:lineRule="auto"/>
        <w:jc w:val="both"/>
        <w:rPr>
          <w:sz w:val="24"/>
          <w:szCs w:val="24"/>
        </w:rPr>
      </w:pPr>
    </w:p>
    <w:p w:rsidR="00B8493F" w:rsidRDefault="00B8493F" w:rsidP="00B8493F">
      <w:pPr>
        <w:autoSpaceDE/>
        <w:autoSpaceDN/>
        <w:spacing w:before="120" w:line="276" w:lineRule="auto"/>
        <w:jc w:val="both"/>
        <w:rPr>
          <w:sz w:val="24"/>
          <w:szCs w:val="24"/>
        </w:rPr>
      </w:pPr>
    </w:p>
    <w:p w:rsidR="00E71DF2" w:rsidRPr="00E71DF2" w:rsidRDefault="00E71DF2" w:rsidP="00E71DF2">
      <w:pPr>
        <w:numPr>
          <w:ilvl w:val="0"/>
          <w:numId w:val="14"/>
        </w:numPr>
        <w:autoSpaceDE/>
        <w:autoSpaceDN/>
        <w:spacing w:before="120" w:line="276" w:lineRule="auto"/>
        <w:ind w:left="426" w:hanging="426"/>
        <w:jc w:val="both"/>
        <w:rPr>
          <w:sz w:val="24"/>
          <w:szCs w:val="24"/>
        </w:rPr>
      </w:pPr>
      <w:r w:rsidRPr="00E71DF2">
        <w:rPr>
          <w:sz w:val="24"/>
          <w:szCs w:val="24"/>
        </w:rPr>
        <w:lastRenderedPageBreak/>
        <w:t>V případě úmrtí nájemce nájemní smlouva přechází na (prosíme, vyplňte):</w:t>
      </w:r>
    </w:p>
    <w:p w:rsidR="00E71DF2" w:rsidRPr="00E71DF2" w:rsidRDefault="00E71DF2" w:rsidP="00E71DF2">
      <w:pPr>
        <w:autoSpaceDE/>
        <w:autoSpaceDN/>
        <w:spacing w:before="120" w:line="276" w:lineRule="auto"/>
        <w:ind w:left="720"/>
        <w:rPr>
          <w:sz w:val="24"/>
          <w:szCs w:val="24"/>
        </w:rPr>
      </w:pPr>
      <w:r w:rsidRPr="00E71DF2">
        <w:rPr>
          <w:sz w:val="24"/>
          <w:szCs w:val="24"/>
        </w:rPr>
        <w:t>Jméno</w:t>
      </w:r>
      <w:r>
        <w:rPr>
          <w:sz w:val="24"/>
          <w:szCs w:val="24"/>
        </w:rPr>
        <w:t xml:space="preserve"> a </w:t>
      </w:r>
      <w:r w:rsidRPr="00E71DF2">
        <w:rPr>
          <w:sz w:val="24"/>
          <w:szCs w:val="24"/>
        </w:rPr>
        <w:t xml:space="preserve">příjmení: </w:t>
      </w:r>
    </w:p>
    <w:p w:rsidR="00E71DF2" w:rsidRPr="00E71DF2" w:rsidRDefault="00E71DF2" w:rsidP="00E71DF2">
      <w:pPr>
        <w:autoSpaceDE/>
        <w:autoSpaceDN/>
        <w:spacing w:before="120" w:line="276" w:lineRule="auto"/>
        <w:ind w:left="720"/>
        <w:rPr>
          <w:sz w:val="24"/>
          <w:szCs w:val="24"/>
        </w:rPr>
      </w:pPr>
      <w:r w:rsidRPr="00E71DF2">
        <w:rPr>
          <w:sz w:val="24"/>
          <w:szCs w:val="24"/>
        </w:rPr>
        <w:t>Datum narození:</w:t>
      </w:r>
    </w:p>
    <w:p w:rsidR="00E71DF2" w:rsidRPr="00E71DF2" w:rsidRDefault="00E71DF2" w:rsidP="00E71DF2">
      <w:pPr>
        <w:autoSpaceDE/>
        <w:autoSpaceDN/>
        <w:spacing w:before="120" w:line="276" w:lineRule="auto"/>
        <w:ind w:left="720"/>
        <w:jc w:val="both"/>
        <w:rPr>
          <w:sz w:val="24"/>
          <w:szCs w:val="24"/>
        </w:rPr>
      </w:pPr>
      <w:r w:rsidRPr="00E71DF2">
        <w:rPr>
          <w:sz w:val="24"/>
          <w:szCs w:val="24"/>
        </w:rPr>
        <w:t xml:space="preserve">Adresa: </w:t>
      </w:r>
    </w:p>
    <w:p w:rsidR="00E71DF2" w:rsidRPr="00E71DF2" w:rsidRDefault="007A5C3C" w:rsidP="00E71DF2">
      <w:pPr>
        <w:autoSpaceDE/>
        <w:autoSpaceDN/>
        <w:spacing w:before="12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E-mail/Tel.: </w:t>
      </w:r>
    </w:p>
    <w:p w:rsidR="00E71DF2" w:rsidRPr="00E71DF2" w:rsidRDefault="00E71DF2" w:rsidP="00E71DF2">
      <w:pPr>
        <w:autoSpaceDE/>
        <w:autoSpaceDN/>
        <w:spacing w:before="120" w:line="276" w:lineRule="auto"/>
        <w:ind w:left="720"/>
        <w:jc w:val="both"/>
        <w:rPr>
          <w:sz w:val="24"/>
          <w:szCs w:val="24"/>
        </w:rPr>
      </w:pPr>
      <w:r w:rsidRPr="00E71DF2">
        <w:rPr>
          <w:sz w:val="24"/>
          <w:szCs w:val="24"/>
        </w:rPr>
        <w:t>Já výše uvedená/ý souhlasím se zpracováním osobních údajů vedených ve hřbitovní knize:</w:t>
      </w:r>
    </w:p>
    <w:p w:rsidR="00E71DF2" w:rsidRPr="00E71DF2" w:rsidRDefault="00E71DF2" w:rsidP="00E71DF2">
      <w:pPr>
        <w:autoSpaceDE/>
        <w:autoSpaceDN/>
        <w:spacing w:before="120" w:line="276" w:lineRule="auto"/>
        <w:ind w:left="720"/>
        <w:jc w:val="both"/>
        <w:rPr>
          <w:sz w:val="24"/>
          <w:szCs w:val="24"/>
        </w:rPr>
      </w:pPr>
      <w:r w:rsidRPr="00E71DF2">
        <w:rPr>
          <w:sz w:val="24"/>
          <w:szCs w:val="24"/>
        </w:rPr>
        <w:t>Podpis ……………………………….</w:t>
      </w:r>
    </w:p>
    <w:p w:rsidR="00807F8E" w:rsidRPr="00955D71" w:rsidRDefault="00807F8E" w:rsidP="00E71DF2">
      <w:pPr>
        <w:autoSpaceDE/>
        <w:autoSpaceDN/>
        <w:spacing w:before="240" w:after="240" w:line="276" w:lineRule="auto"/>
        <w:jc w:val="both"/>
        <w:rPr>
          <w:b/>
          <w:sz w:val="24"/>
          <w:szCs w:val="24"/>
        </w:rPr>
      </w:pPr>
    </w:p>
    <w:p w:rsidR="00807F8E" w:rsidRPr="006375D0" w:rsidRDefault="006375D0" w:rsidP="00893904">
      <w:pPr>
        <w:numPr>
          <w:ilvl w:val="0"/>
          <w:numId w:val="14"/>
        </w:numPr>
        <w:autoSpaceDE/>
        <w:autoSpaceDN/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6375D0">
        <w:rPr>
          <w:sz w:val="24"/>
          <w:szCs w:val="24"/>
        </w:rPr>
        <w:t>Pokud nájemce nebo ten, na koho přešlo vlastnictví k hrobovému zařízení, hrobové zařízení neodstraní a nepřevezme do 1 roku ode dne doručení písemné výzvy pronajímatele, příp. ode dne jejího vyvěšení na veřejném pohřebišti a na webových stránkách obce www.</w:t>
      </w:r>
      <w:r w:rsidR="00935E83">
        <w:rPr>
          <w:sz w:val="24"/>
          <w:szCs w:val="24"/>
        </w:rPr>
        <w:t>pavloviceuprerova.cz</w:t>
      </w:r>
      <w:r w:rsidRPr="006375D0">
        <w:rPr>
          <w:sz w:val="24"/>
          <w:szCs w:val="24"/>
        </w:rPr>
        <w:t xml:space="preserve">, bude s ním naloženo jako s věcí opuštěnou. </w:t>
      </w:r>
      <w:r w:rsidR="00807F8E" w:rsidRPr="006375D0">
        <w:rPr>
          <w:sz w:val="24"/>
          <w:szCs w:val="24"/>
        </w:rPr>
        <w:t>(počíná běžet tzv. čekací doba pro opuštěnost dle občanského zákoníku).</w:t>
      </w:r>
    </w:p>
    <w:p w:rsidR="00807F8E" w:rsidRPr="00955D71" w:rsidRDefault="00807F8E" w:rsidP="00893904">
      <w:pPr>
        <w:numPr>
          <w:ilvl w:val="0"/>
          <w:numId w:val="14"/>
        </w:numPr>
        <w:autoSpaceDE/>
        <w:autoSpaceDN/>
        <w:spacing w:before="120" w:after="120" w:line="276" w:lineRule="auto"/>
        <w:ind w:left="426" w:hanging="426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V případě skončení nájemní smlouvy výpovědí ze stran nájemce, nedochází k vypořádání zbylé částky nájemného a uhrazených služeb s nájmem spojených.</w:t>
      </w:r>
    </w:p>
    <w:p w:rsidR="00955D71" w:rsidRPr="00955D71" w:rsidRDefault="00955D71" w:rsidP="00955D71">
      <w:pPr>
        <w:autoSpaceDE/>
        <w:autoSpaceDN/>
        <w:spacing w:before="120" w:line="276" w:lineRule="auto"/>
        <w:ind w:left="426"/>
        <w:jc w:val="both"/>
        <w:rPr>
          <w:sz w:val="24"/>
          <w:szCs w:val="24"/>
        </w:rPr>
      </w:pPr>
    </w:p>
    <w:p w:rsidR="00807F8E" w:rsidRPr="00E47D75" w:rsidRDefault="00E47D75" w:rsidP="00E47D75">
      <w:pPr>
        <w:pStyle w:val="Odstavecseseznamem"/>
        <w:numPr>
          <w:ilvl w:val="0"/>
          <w:numId w:val="18"/>
        </w:numPr>
        <w:spacing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a závěrečná ustanovení</w:t>
      </w:r>
    </w:p>
    <w:p w:rsidR="00E47D75" w:rsidRPr="00E47D75" w:rsidRDefault="00E47D75" w:rsidP="00B20C28">
      <w:pPr>
        <w:numPr>
          <w:ilvl w:val="0"/>
          <w:numId w:val="15"/>
        </w:numPr>
        <w:autoSpaceDE/>
        <w:autoSpaceDN/>
        <w:spacing w:before="240" w:line="276" w:lineRule="auto"/>
        <w:ind w:left="425" w:hanging="425"/>
        <w:jc w:val="both"/>
        <w:rPr>
          <w:sz w:val="24"/>
          <w:szCs w:val="24"/>
        </w:rPr>
      </w:pPr>
      <w:r w:rsidRPr="00E47D75">
        <w:rPr>
          <w:sz w:val="24"/>
          <w:szCs w:val="24"/>
        </w:rPr>
        <w:t>Tato smlouva nabývá účinnosti dnem podpisu oběma smluvními stranami. Lze ji měnit pouze písemnými dodatky. Smlouva byla sepsána ve 2 (dvou) vyhotoveních, z nichž 1 (jedno) vyhotovení obdrží pronajímatel a 1 (jedno) vyhotovení nájemce.</w:t>
      </w:r>
    </w:p>
    <w:p w:rsidR="00E47D75" w:rsidRPr="00E47D75" w:rsidRDefault="00E47D75" w:rsidP="00B20C28">
      <w:pPr>
        <w:numPr>
          <w:ilvl w:val="0"/>
          <w:numId w:val="15"/>
        </w:numPr>
        <w:autoSpaceDE/>
        <w:autoSpaceDN/>
        <w:spacing w:before="240" w:line="276" w:lineRule="auto"/>
        <w:ind w:left="425" w:hanging="425"/>
        <w:jc w:val="both"/>
        <w:rPr>
          <w:sz w:val="24"/>
          <w:szCs w:val="24"/>
        </w:rPr>
      </w:pPr>
      <w:r w:rsidRPr="00E47D75">
        <w:rPr>
          <w:sz w:val="24"/>
          <w:szCs w:val="24"/>
        </w:rPr>
        <w:t xml:space="preserve">Nájemce podpisem této smlouvy potvrzuje, že se seznámil s obsahem Řádu veřejného pohřebiště, který je umístěn na vývěsní desce hřbitova, je k dispozici k nahlédnutí </w:t>
      </w:r>
      <w:r w:rsidR="00B20C28">
        <w:rPr>
          <w:sz w:val="24"/>
          <w:szCs w:val="24"/>
        </w:rPr>
        <w:br/>
      </w:r>
      <w:r w:rsidRPr="00E47D75">
        <w:rPr>
          <w:sz w:val="24"/>
          <w:szCs w:val="24"/>
        </w:rPr>
        <w:t xml:space="preserve">na </w:t>
      </w:r>
      <w:r>
        <w:rPr>
          <w:sz w:val="24"/>
          <w:szCs w:val="24"/>
        </w:rPr>
        <w:t>Obecním úřadu Pavlovice u Přerova</w:t>
      </w:r>
      <w:r w:rsidRPr="00E47D75">
        <w:rPr>
          <w:sz w:val="24"/>
          <w:szCs w:val="24"/>
        </w:rPr>
        <w:t xml:space="preserve"> a je zveřejněn na webových stránkách </w:t>
      </w:r>
      <w:r>
        <w:rPr>
          <w:sz w:val="24"/>
          <w:szCs w:val="24"/>
        </w:rPr>
        <w:t>obce,</w:t>
      </w:r>
      <w:r w:rsidRPr="00E47D75">
        <w:rPr>
          <w:sz w:val="24"/>
          <w:szCs w:val="24"/>
        </w:rPr>
        <w:t xml:space="preserve"> a že mu byly případné nejasnosti vysvětleny při podpisu smlouvy.</w:t>
      </w:r>
    </w:p>
    <w:p w:rsidR="00E47D75" w:rsidRPr="00E47D75" w:rsidRDefault="00E47D75" w:rsidP="00B20C28">
      <w:pPr>
        <w:numPr>
          <w:ilvl w:val="0"/>
          <w:numId w:val="15"/>
        </w:numPr>
        <w:autoSpaceDE/>
        <w:autoSpaceDN/>
        <w:spacing w:before="240" w:line="276" w:lineRule="auto"/>
        <w:ind w:left="425" w:hanging="425"/>
        <w:jc w:val="both"/>
        <w:rPr>
          <w:sz w:val="24"/>
          <w:szCs w:val="24"/>
        </w:rPr>
      </w:pPr>
      <w:r w:rsidRPr="00E47D75">
        <w:rPr>
          <w:sz w:val="24"/>
          <w:szCs w:val="24"/>
        </w:rPr>
        <w:t>V podrobnostech touto smlouvou blíže neupravených se tento smluvní vztah řídí především občanským zákoníkem, zákonem o pohřebnictví a Řádem veřejného pohřebiště.</w:t>
      </w:r>
    </w:p>
    <w:p w:rsidR="00E47D75" w:rsidRPr="00A05192" w:rsidRDefault="00E47D75" w:rsidP="00B20C28">
      <w:pPr>
        <w:numPr>
          <w:ilvl w:val="0"/>
          <w:numId w:val="15"/>
        </w:numPr>
        <w:autoSpaceDE/>
        <w:autoSpaceDN/>
        <w:spacing w:before="240" w:line="276" w:lineRule="auto"/>
        <w:ind w:left="425" w:hanging="425"/>
        <w:jc w:val="both"/>
        <w:rPr>
          <w:sz w:val="24"/>
          <w:szCs w:val="24"/>
        </w:rPr>
      </w:pPr>
      <w:r w:rsidRPr="00E47D75">
        <w:rPr>
          <w:sz w:val="24"/>
          <w:szCs w:val="24"/>
        </w:rPr>
        <w:t xml:space="preserve">Vzor této smlouvy byl schválen </w:t>
      </w:r>
      <w:r>
        <w:rPr>
          <w:sz w:val="24"/>
          <w:szCs w:val="24"/>
        </w:rPr>
        <w:t>Radou obce Pavlovice u Přerova</w:t>
      </w:r>
      <w:r w:rsidRPr="00E47D75">
        <w:rPr>
          <w:sz w:val="24"/>
          <w:szCs w:val="24"/>
        </w:rPr>
        <w:t xml:space="preserve"> dne </w:t>
      </w:r>
      <w:r w:rsidR="00A05192">
        <w:rPr>
          <w:sz w:val="24"/>
          <w:szCs w:val="24"/>
        </w:rPr>
        <w:t>13. 11. 2019</w:t>
      </w:r>
      <w:r w:rsidRPr="00E47D75">
        <w:rPr>
          <w:sz w:val="24"/>
          <w:szCs w:val="24"/>
        </w:rPr>
        <w:t xml:space="preserve"> usnesením </w:t>
      </w:r>
      <w:r w:rsidRPr="00A05192">
        <w:rPr>
          <w:sz w:val="24"/>
          <w:szCs w:val="24"/>
        </w:rPr>
        <w:t>č.</w:t>
      </w:r>
      <w:r w:rsidR="00A05192" w:rsidRPr="00A05192">
        <w:rPr>
          <w:sz w:val="24"/>
          <w:szCs w:val="24"/>
        </w:rPr>
        <w:t xml:space="preserve"> 11/4/2019.</w:t>
      </w:r>
    </w:p>
    <w:p w:rsidR="00893904" w:rsidRPr="00955D71" w:rsidRDefault="00893904" w:rsidP="00807F8E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807F8E" w:rsidRPr="00955D71" w:rsidRDefault="00807F8E" w:rsidP="00807F8E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807F8E" w:rsidRPr="00955D71" w:rsidRDefault="00807F8E" w:rsidP="00893904">
      <w:pPr>
        <w:spacing w:line="276" w:lineRule="auto"/>
        <w:jc w:val="both"/>
        <w:rPr>
          <w:sz w:val="24"/>
          <w:szCs w:val="24"/>
        </w:rPr>
      </w:pPr>
      <w:r w:rsidRPr="00955D71">
        <w:rPr>
          <w:sz w:val="24"/>
          <w:szCs w:val="24"/>
        </w:rPr>
        <w:t>V</w:t>
      </w:r>
      <w:r w:rsidR="00955D71" w:rsidRPr="00955D71">
        <w:rPr>
          <w:sz w:val="24"/>
          <w:szCs w:val="24"/>
        </w:rPr>
        <w:t> Pavlovicích u Přerova</w:t>
      </w:r>
      <w:r w:rsidRPr="00955D71">
        <w:rPr>
          <w:sz w:val="24"/>
          <w:szCs w:val="24"/>
        </w:rPr>
        <w:t xml:space="preserve"> dne</w:t>
      </w:r>
      <w:r w:rsidR="007A5C3C">
        <w:rPr>
          <w:sz w:val="24"/>
          <w:szCs w:val="24"/>
        </w:rPr>
        <w:t xml:space="preserve"> </w:t>
      </w:r>
      <w:r w:rsidR="00955D71" w:rsidRPr="00955D71">
        <w:rPr>
          <w:sz w:val="24"/>
          <w:szCs w:val="24"/>
        </w:rPr>
        <w:t xml:space="preserve">                </w:t>
      </w:r>
      <w:r w:rsidRPr="00955D71">
        <w:rPr>
          <w:sz w:val="24"/>
          <w:szCs w:val="24"/>
        </w:rPr>
        <w:t>V </w:t>
      </w:r>
      <w:r w:rsidR="00955D71" w:rsidRPr="00955D71">
        <w:rPr>
          <w:sz w:val="24"/>
          <w:szCs w:val="24"/>
        </w:rPr>
        <w:t>Pavlo</w:t>
      </w:r>
      <w:r w:rsidRPr="00955D71">
        <w:rPr>
          <w:sz w:val="24"/>
          <w:szCs w:val="24"/>
        </w:rPr>
        <w:t>vicích</w:t>
      </w:r>
      <w:r w:rsidR="00955D71" w:rsidRPr="00955D71">
        <w:rPr>
          <w:sz w:val="24"/>
          <w:szCs w:val="24"/>
        </w:rPr>
        <w:t xml:space="preserve"> u Přerova</w:t>
      </w:r>
      <w:r w:rsidRPr="00955D71">
        <w:rPr>
          <w:sz w:val="24"/>
          <w:szCs w:val="24"/>
        </w:rPr>
        <w:t xml:space="preserve"> dne</w:t>
      </w:r>
      <w:bookmarkStart w:id="0" w:name="_GoBack"/>
      <w:bookmarkEnd w:id="0"/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  <w:r w:rsidRPr="00955D71">
        <w:rPr>
          <w:sz w:val="24"/>
          <w:szCs w:val="24"/>
        </w:rPr>
        <w:t>............................................................</w:t>
      </w:r>
      <w:r w:rsidRPr="00955D71">
        <w:rPr>
          <w:sz w:val="24"/>
          <w:szCs w:val="24"/>
        </w:rPr>
        <w:tab/>
        <w:t xml:space="preserve">          </w:t>
      </w:r>
      <w:r w:rsidRPr="00955D71">
        <w:rPr>
          <w:sz w:val="24"/>
          <w:szCs w:val="24"/>
        </w:rPr>
        <w:tab/>
        <w:t>............................................................</w:t>
      </w:r>
    </w:p>
    <w:p w:rsidR="00807F8E" w:rsidRPr="00955D71" w:rsidRDefault="00807F8E" w:rsidP="00807F8E">
      <w:pPr>
        <w:spacing w:line="276" w:lineRule="auto"/>
        <w:rPr>
          <w:sz w:val="24"/>
          <w:szCs w:val="24"/>
        </w:rPr>
      </w:pPr>
      <w:r w:rsidRPr="00955D71">
        <w:rPr>
          <w:sz w:val="24"/>
          <w:szCs w:val="24"/>
        </w:rPr>
        <w:t xml:space="preserve">                 pronajímatel</w:t>
      </w:r>
      <w:r w:rsidRPr="00955D71">
        <w:rPr>
          <w:sz w:val="24"/>
          <w:szCs w:val="24"/>
        </w:rPr>
        <w:tab/>
      </w:r>
      <w:r w:rsidRPr="00955D71">
        <w:rPr>
          <w:sz w:val="24"/>
          <w:szCs w:val="24"/>
        </w:rPr>
        <w:tab/>
      </w:r>
      <w:r w:rsidRPr="00955D71">
        <w:rPr>
          <w:sz w:val="24"/>
          <w:szCs w:val="24"/>
        </w:rPr>
        <w:tab/>
      </w:r>
      <w:r w:rsidRPr="00955D71">
        <w:rPr>
          <w:sz w:val="24"/>
          <w:szCs w:val="24"/>
        </w:rPr>
        <w:tab/>
        <w:t xml:space="preserve">                        nájemce</w:t>
      </w:r>
    </w:p>
    <w:p w:rsidR="00A036A3" w:rsidRPr="00955D71" w:rsidRDefault="00A036A3" w:rsidP="00955D71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</w:pPr>
    </w:p>
    <w:sectPr w:rsidR="00A036A3" w:rsidRPr="00955D71" w:rsidSect="006375D0">
      <w:pgSz w:w="11906" w:h="16838"/>
      <w:pgMar w:top="851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7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A8E2AE1"/>
    <w:multiLevelType w:val="hybridMultilevel"/>
    <w:tmpl w:val="BAA01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D7001C"/>
    <w:multiLevelType w:val="hybridMultilevel"/>
    <w:tmpl w:val="DBD2B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C6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D347A1"/>
    <w:multiLevelType w:val="hybridMultilevel"/>
    <w:tmpl w:val="0D48E22C"/>
    <w:lvl w:ilvl="0" w:tplc="3B689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071F"/>
    <w:multiLevelType w:val="hybridMultilevel"/>
    <w:tmpl w:val="FE906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2615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D64F43"/>
    <w:multiLevelType w:val="hybridMultilevel"/>
    <w:tmpl w:val="E1003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01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02D23F0"/>
    <w:multiLevelType w:val="hybridMultilevel"/>
    <w:tmpl w:val="F42CE70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4E24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8AF723D"/>
    <w:multiLevelType w:val="hybridMultilevel"/>
    <w:tmpl w:val="061CD88E"/>
    <w:lvl w:ilvl="0" w:tplc="E2AEE10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59427766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CD2FE7"/>
    <w:multiLevelType w:val="hybridMultilevel"/>
    <w:tmpl w:val="902674F6"/>
    <w:lvl w:ilvl="0" w:tplc="413E4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E1F22"/>
    <w:multiLevelType w:val="singleLevel"/>
    <w:tmpl w:val="432EC5E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73205912"/>
    <w:multiLevelType w:val="hybridMultilevel"/>
    <w:tmpl w:val="9E78D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F0AA2"/>
    <w:multiLevelType w:val="hybridMultilevel"/>
    <w:tmpl w:val="124A2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AC6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4"/>
  </w:num>
  <w:num w:numId="5">
    <w:abstractNumId w:val="13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19"/>
  </w:num>
  <w:num w:numId="14">
    <w:abstractNumId w:val="7"/>
  </w:num>
  <w:num w:numId="15">
    <w:abstractNumId w:val="6"/>
  </w:num>
  <w:num w:numId="16">
    <w:abstractNumId w:val="9"/>
  </w:num>
  <w:num w:numId="17">
    <w:abstractNumId w:val="14"/>
  </w:num>
  <w:num w:numId="18">
    <w:abstractNumId w:val="1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A3"/>
    <w:rsid w:val="001742FF"/>
    <w:rsid w:val="002C51B7"/>
    <w:rsid w:val="00304927"/>
    <w:rsid w:val="00403E98"/>
    <w:rsid w:val="00420AC0"/>
    <w:rsid w:val="00452ABD"/>
    <w:rsid w:val="00535EC9"/>
    <w:rsid w:val="005832B5"/>
    <w:rsid w:val="006328A1"/>
    <w:rsid w:val="006375D0"/>
    <w:rsid w:val="00661F4D"/>
    <w:rsid w:val="007A5C3C"/>
    <w:rsid w:val="00807F8E"/>
    <w:rsid w:val="00893904"/>
    <w:rsid w:val="00935E83"/>
    <w:rsid w:val="00955D71"/>
    <w:rsid w:val="00A036A3"/>
    <w:rsid w:val="00A05192"/>
    <w:rsid w:val="00A84664"/>
    <w:rsid w:val="00B0269B"/>
    <w:rsid w:val="00B06F6E"/>
    <w:rsid w:val="00B20C28"/>
    <w:rsid w:val="00B74888"/>
    <w:rsid w:val="00B8493F"/>
    <w:rsid w:val="00BD092D"/>
    <w:rsid w:val="00C20472"/>
    <w:rsid w:val="00E45C08"/>
    <w:rsid w:val="00E47D75"/>
    <w:rsid w:val="00E71DF2"/>
    <w:rsid w:val="00ED1B02"/>
    <w:rsid w:val="00F6270C"/>
    <w:rsid w:val="00F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FE33-580E-4A56-AD6E-5C2AB58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36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036A3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036A3"/>
    <w:pPr>
      <w:keepNext/>
      <w:outlineLvl w:val="1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A036A3"/>
    <w:pPr>
      <w:keepNext/>
      <w:jc w:val="both"/>
      <w:outlineLvl w:val="4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036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036A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036A3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A036A3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3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A036A3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03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Infozjednn">
    <w:name w:val="Tab Info z jednání"/>
    <w:uiPriority w:val="99"/>
    <w:rsid w:val="00A036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A036A3"/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036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7F8E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2C51B7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2C51B7"/>
    <w:rPr>
      <w:rFonts w:eastAsiaTheme="minorEastAsia"/>
      <w:lang w:val="en-US" w:bidi="en-US"/>
    </w:rPr>
  </w:style>
  <w:style w:type="paragraph" w:customStyle="1" w:styleId="Default">
    <w:name w:val="Default"/>
    <w:rsid w:val="00535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1359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Pekařová</dc:creator>
  <cp:keywords/>
  <dc:description/>
  <cp:lastModifiedBy>Jindřiška Derychová</cp:lastModifiedBy>
  <cp:revision>18</cp:revision>
  <dcterms:created xsi:type="dcterms:W3CDTF">2019-04-23T08:10:00Z</dcterms:created>
  <dcterms:modified xsi:type="dcterms:W3CDTF">2023-04-26T14:41:00Z</dcterms:modified>
</cp:coreProperties>
</file>